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4E5C" w14:textId="3EC48B53" w:rsidR="00815F4E" w:rsidRDefault="004B3B51" w:rsidP="005E34C7">
      <w:pPr>
        <w:pStyle w:val="a8"/>
        <w:ind w:hanging="284"/>
        <w:jc w:val="both"/>
        <w:rPr>
          <w:rFonts w:ascii="Times New Roman" w:hAnsi="Times New Roman" w:cs="Times New Roman"/>
        </w:rPr>
      </w:pPr>
      <w:r w:rsidRPr="005E34C7">
        <w:rPr>
          <w:rFonts w:ascii="Times New Roman" w:hAnsi="Times New Roman" w:cs="Times New Roman"/>
        </w:rPr>
        <w:t xml:space="preserve">     </w:t>
      </w:r>
    </w:p>
    <w:tbl>
      <w:tblPr>
        <w:tblStyle w:val="af1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7119"/>
        <w:gridCol w:w="1701"/>
      </w:tblGrid>
      <w:tr w:rsidR="00815F4E" w14:paraId="248CF965" w14:textId="77777777" w:rsidTr="00A3177A">
        <w:trPr>
          <w:jc w:val="center"/>
        </w:trPr>
        <w:tc>
          <w:tcPr>
            <w:tcW w:w="1812" w:type="dxa"/>
          </w:tcPr>
          <w:p w14:paraId="1C570483" w14:textId="6B83E9C4" w:rsidR="00815F4E" w:rsidRDefault="00815F4E" w:rsidP="005E34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ABEBAE" wp14:editId="2CD1DF23">
                  <wp:extent cx="1013460" cy="981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096" cy="99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14:paraId="4570232B" w14:textId="77777777" w:rsidR="00815F4E" w:rsidRPr="000613C1" w:rsidRDefault="00815F4E" w:rsidP="000613C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bookmarkStart w:id="0" w:name="_Hlk154147335"/>
            <w:r w:rsidRPr="000613C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Қазақстан Республикасы Ғылым және жоғары білім министрілігі</w:t>
            </w:r>
          </w:p>
          <w:p w14:paraId="7A01F4BF" w14:textId="77777777" w:rsidR="00815F4E" w:rsidRPr="000613C1" w:rsidRDefault="00815F4E" w:rsidP="000613C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bookmarkStart w:id="1" w:name="_Hlk154147379"/>
            <w:bookmarkEnd w:id="0"/>
            <w:r w:rsidRPr="000613C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Министерство науки и высшего образования Республики Казахстан</w:t>
            </w:r>
          </w:p>
          <w:bookmarkEnd w:id="1"/>
          <w:p w14:paraId="5154C6E4" w14:textId="77777777" w:rsidR="00815F4E" w:rsidRPr="000613C1" w:rsidRDefault="00815F4E" w:rsidP="000613C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5F0699" w14:textId="773265C3" w:rsidR="00815F4E" w:rsidRDefault="00815F4E" w:rsidP="005E34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684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F3A689" wp14:editId="58587D4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941070" cy="734060"/>
                  <wp:effectExtent l="0" t="0" r="0" b="8890"/>
                  <wp:wrapTight wrapText="bothSides">
                    <wp:wrapPolygon edited="0">
                      <wp:start x="6996" y="0"/>
                      <wp:lineTo x="3935" y="1121"/>
                      <wp:lineTo x="1312" y="5045"/>
                      <wp:lineTo x="0" y="16256"/>
                      <wp:lineTo x="0" y="19059"/>
                      <wp:lineTo x="437" y="21301"/>
                      <wp:lineTo x="20113" y="21301"/>
                      <wp:lineTo x="20988" y="17938"/>
                      <wp:lineTo x="20988" y="16256"/>
                      <wp:lineTo x="19676" y="5606"/>
                      <wp:lineTo x="17490" y="1121"/>
                      <wp:lineTo x="14429" y="0"/>
                      <wp:lineTo x="6996" y="0"/>
                    </wp:wrapPolygon>
                  </wp:wrapTight>
                  <wp:docPr id="3" name="Рисунок 3" descr="C:\Users\dist\Downloads\лог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st\Downloads\лог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435878" w14:textId="77777777" w:rsidR="00A3177A" w:rsidRPr="00A3177A" w:rsidRDefault="00A3177A" w:rsidP="00A3177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АҚПАРАТТЫҚ ХАТ</w:t>
      </w:r>
    </w:p>
    <w:p w14:paraId="69A5C4BD" w14:textId="77777777" w:rsidR="00A3177A" w:rsidRPr="00A3177A" w:rsidRDefault="00A3177A" w:rsidP="00A3177A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2A96D0B6" w14:textId="754419F3" w:rsidR="00A3177A" w:rsidRPr="00A3177A" w:rsidRDefault="00A3177A" w:rsidP="00A3177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Ахмет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Байтұрсынұлы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атындағы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Қостанай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өңірлік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университеті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«ИННОВА - 2025.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Білім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мен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бизнестің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синергиясы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болашақ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мамандарды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даярлау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»</w:t>
      </w:r>
      <w:r w:rsidRPr="002223F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атты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жыл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сайынғы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халықаралық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ғылыми-әдістемелік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конференция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өткізеді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62D71883" w14:textId="50A48360" w:rsidR="00A3177A" w:rsidRPr="00A3177A" w:rsidRDefault="00A3177A" w:rsidP="00A3177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Конференция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Қазақстан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Республикасы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Президенті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Қ.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Тоқаевтың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Жолдауында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айтылған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стратегиялық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бастамаларды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жүзеге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асыру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аясында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өтеді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.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Бұл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Жолдауда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2025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жыл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«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Жұмысшы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кәсіптер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жылы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»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деп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жарияланды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5D23856F" w14:textId="36C2EE82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Конференцияның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мақсаты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:</w:t>
      </w:r>
    </w:p>
    <w:p w14:paraId="189B5779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Ғылыми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қауымдастықтың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білім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беру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мекемелерінің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бизнес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өкілдерінің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күш-жігерін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біріктіру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арқылы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заманауи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сын-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қатерлер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мен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еңбек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нарығындағы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үрдістерді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ескере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отырып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болашақ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мамандарды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даярлаудың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инновациялық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тәсілдерін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әзірлеу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1A778EA2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77A78FE0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Конференция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аясында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келесі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мәселелер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қарастырылады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:</w:t>
      </w:r>
    </w:p>
    <w:p w14:paraId="724778F6" w14:textId="19C7E612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ab/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Білім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мен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бизнесті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интеграциялау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стратегиялары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3AF8677C" w14:textId="24D2038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ab/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Оқыту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әдістемелерін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жетілдіру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66A6CC19" w14:textId="428F0364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Қарқынды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дамып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келе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жатқан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экономика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жағдайында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жоғары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білікті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кадрларды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даярлау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бойынша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тиімді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шешімдерді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іздеу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27F0C2EF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5A731B39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Конференцияның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негізгі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бағыттары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:</w:t>
      </w:r>
    </w:p>
    <w:p w14:paraId="0CE82FBA" w14:textId="0381EBE6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Дуальды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оқыту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бизнес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серіктестігі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білім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беру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ұйымдары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мен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жұмыс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берушілер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арасындағы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өзара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іс-қимылдың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табысты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үлгілері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427BBA21" w14:textId="2A437E7E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Білім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берудегі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инновациялық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әдістер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мен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технологиялар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оқытудың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заманауи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тәсілдері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олардың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мамандарды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даярлау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сапасына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әсері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1FA04960" w14:textId="7A587A7E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Білім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беруді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цифрландыру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болашақ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мамандарды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даярлауда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жасанды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интеллект,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виртуалды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шынайылық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онлайн-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платформаларды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пайдалану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632BA2FE" w14:textId="2F6021FF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Жұмысшы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кәсіптері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мен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техникалық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мамандықтар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бойынша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кадрларды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даярлау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өзекті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мәселелер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әдістер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перспективалар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1C18D02E" w14:textId="1604EE9C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Болашақ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дағдылары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еңбек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нарығының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трансформациясы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мамандардың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кәсіби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жеке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дағдыларына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қойылатын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жаңа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талаптар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7EF72962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4EC528F6" w14:textId="012340D2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Конференция форматы:</w:t>
      </w:r>
    </w:p>
    <w:p w14:paraId="1DE49772" w14:textId="79DD6034" w:rsidR="00A3177A" w:rsidRPr="00A3177A" w:rsidRDefault="00A3177A" w:rsidP="00A3177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«ИННОВА - 2025.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Білім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мен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бизнестің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синергиясы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болашақ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мамандарды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даярлау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»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конференциясы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ғалымдар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оқытушылар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бизнес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мемлекеттік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органдар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өкілдері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арасындағы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тәжірибе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алмасу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алаңы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болады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.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Бұл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білім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беру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жүйесін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жетілдіру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жаһандық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экономика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жағдайында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сұранысқа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ие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мамандарды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даярлау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бойынша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практикалық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ұсыныстар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әзірлеуге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мүмкіндік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береді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6592A264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Өтетін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күні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2025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жылғы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28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наурыз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456CB616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Жұмыс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тілдері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қазақ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орыс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ағылшын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76924913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Қатысу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форматы</w:t>
      </w: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онлайн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офлайн.</w:t>
      </w:r>
    </w:p>
    <w:p w14:paraId="650A4AFF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Мақалаларды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қабылдау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мерзімі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2025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жылғы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17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наурызға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дейін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56EC0475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7423466B" w14:textId="56428846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Конференцияға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қатысуға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шақырылады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:</w:t>
      </w:r>
    </w:p>
    <w:p w14:paraId="388E42DC" w14:textId="5172C8B5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Отандық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шетелдік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ғалымдар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орта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кәсіби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жоғары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жоғары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оқу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орнынан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кейінгі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білім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беру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ұйымдарының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профессор-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оқытушылары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магистранттар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мен PhD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докторанттар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мемлекеттік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қоғам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қайраткерлері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мемлекеттік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бизнес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құрылымдарының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өкілдері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72B6FB3A" w14:textId="3B8ABB72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Конференция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материалдары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электронды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жинақ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түрінде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жарияланады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(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жинақтың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шығуы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2025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жылдың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мамыр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айына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жоспарланған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). Конференция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жинағында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мақалалар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тегін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жарияланады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.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Барлық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мақалалар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рецензиялау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рәсімінен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өтеді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онда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олардың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конференция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тақырыбына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сәйкестігі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өзектілігі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түпнұсқалығы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зерттеу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нәтижелерінің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дербестігі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материалдардың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сапасы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безендірілуі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бағаланады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70D0D4F5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рәсімдеуге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қойылатын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талаптар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:</w:t>
      </w:r>
    </w:p>
    <w:p w14:paraId="1686A2A2" w14:textId="5445C946" w:rsidR="00A3177A" w:rsidRPr="00A3177A" w:rsidRDefault="00A3177A" w:rsidP="00A3177A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•Файл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атауы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секция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нөмірі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бірінші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автордың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тегі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(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егер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авторлық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топпен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жазылса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) _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(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мысалы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: 3_Сериков А._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).</w:t>
      </w:r>
    </w:p>
    <w:p w14:paraId="4619DC6B" w14:textId="2B6A5BCC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ab/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Өтінім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файлының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атауы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секция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нөмірі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бірінші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автордың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тегі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_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өтінім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(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мысалы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: 3_Сериков А._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өтінім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).</w:t>
      </w:r>
    </w:p>
    <w:p w14:paraId="6929DE38" w14:textId="5BB5871F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көлемі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А4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форматында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3-5 бет.</w:t>
      </w:r>
    </w:p>
    <w:p w14:paraId="063EF306" w14:textId="5E0D8933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атауы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ортасына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туралау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14 шрифт,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қалың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бас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әріптермен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жазылады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37FDD724" w14:textId="48555AAB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•Автор(лар)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аты-жөні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ортасына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туралау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e-mail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автор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туралы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ақпарат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ғылыми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жетекші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туралы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мәлімет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(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егер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жұмыс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студент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немесе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магистрант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атынан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ұсынылса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), 12 шрифт.</w:t>
      </w:r>
    </w:p>
    <w:p w14:paraId="20334F21" w14:textId="0D84369A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•Аннотация: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мақаланың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немесе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баяндаманың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қысқаша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мазмұны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;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зерттеу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нәтижелерінің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қысқаша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сипаттамасы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6B6F70AA" w14:textId="242F7BAD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Кілт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сөздер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мақаланың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немесе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баяндаманың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негізгі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идеясын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көрсететін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негізгі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терминдер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мен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сөз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тіркестері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2D421522" w14:textId="4CA86B7F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мәтіні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MS Word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мәтіндік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редакторында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шрифт Times New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Roman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Times New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Roman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KZ,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жоларалық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интервал 1, шрифт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өлшемі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14,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барлық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жақтары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2 см,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абзацтық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шегініс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0,8 см.</w:t>
      </w:r>
    </w:p>
    <w:p w14:paraId="5B317811" w14:textId="310A60D3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Түпнұсқалық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деңгейі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кемінде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70%.</w:t>
      </w:r>
    </w:p>
    <w:p w14:paraId="13D7FF4B" w14:textId="76314874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Кестелер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реттік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нөмірі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атауы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болуы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тиіс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 «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Кесте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»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сөзі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оның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нөмірі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атауы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12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шрифтімен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ортасына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тураланып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жазылады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.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Кесте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ішіндегі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мәтін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12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шрифтпен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жазылады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.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Барлық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кестелерге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мәтінінде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сілтемелер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болуы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тиіс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60698EED" w14:textId="7430C432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Суреттер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жинақ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қара-ақ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түсте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шығатындықтан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оны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ескеру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қажет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. «Сурет»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сөзі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оның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нөмірі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атауы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суреттің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астына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ортасына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тураланып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12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шрифтімен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жазылады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. Сурет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ішіндегі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мәтін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12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немесе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14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шрифтімен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жазылады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.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Барлық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суреттерге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мәтінде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сілтемелер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болуы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тиіс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4C9CFA28" w14:textId="0DE3A2EF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•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Әдебиеттер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тізімі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дереккөздер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мәтінінде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аталу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ретімен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көрсетіледі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.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Әдебиеттер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тізімі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12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шрифтімен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рәсімделеді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.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Әдебиеттерге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сілтемелер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мәтінде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шаршы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жақшада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беріледі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мысалы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: [2]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немесе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[3,4,5].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Егер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тікелей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дәйексөз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келтірілсе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онда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беттің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нөмірі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де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көрсетіледі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мысалы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: [2; 397].</w:t>
      </w:r>
    </w:p>
    <w:p w14:paraId="3D35A520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545F801E" w14:textId="51731F8A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Материалдарды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жіберу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:</w:t>
      </w:r>
    </w:p>
    <w:p w14:paraId="6EC2D942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Конференцияға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материалдарын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жариялағысы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келетін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авторлар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екі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файл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жіберуі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тиіс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:</w:t>
      </w:r>
    </w:p>
    <w:p w14:paraId="4415BB6D" w14:textId="70EE6C89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1.Мақала файлы</w:t>
      </w:r>
    </w:p>
    <w:p w14:paraId="10C42795" w14:textId="05C6A914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2.Өтінім файлы</w:t>
      </w:r>
    </w:p>
    <w:p w14:paraId="502F3095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3D679979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Мекенжай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: innovaksu@mail.ru</w:t>
      </w:r>
    </w:p>
    <w:p w14:paraId="4A778C86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2CE3A537" w14:textId="13206B1D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spell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Байланыс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proofErr w:type="gramStart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ақпараты</w:t>
      </w:r>
      <w:proofErr w:type="spellEnd"/>
      <w:r w:rsidRPr="00A3177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Айтқужинова</w:t>
      </w:r>
      <w:proofErr w:type="spellEnd"/>
      <w:proofErr w:type="gram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Сауле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Нортасовна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педагогика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ғылымдарының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магистрі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Инклюзивті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білім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беру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және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инновациялық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білім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беру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технологиялары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орталығы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Телефон: +7-705-456-36-23</w:t>
      </w:r>
    </w:p>
    <w:p w14:paraId="3445EC33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7983235C" w14:textId="77777777" w:rsidR="00A3177A" w:rsidRPr="00A3177A" w:rsidRDefault="00A3177A" w:rsidP="00A3177A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Назар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аударыңыз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!</w:t>
      </w:r>
    </w:p>
    <w:p w14:paraId="36F08186" w14:textId="77777777" w:rsidR="00A3177A" w:rsidRPr="00A3177A" w:rsidRDefault="00A3177A" w:rsidP="00A3177A">
      <w:pPr>
        <w:tabs>
          <w:tab w:val="left" w:pos="567"/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ab/>
        <w:t>•</w:t>
      </w: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Файл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жібермес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бұрын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вирусқа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тексерілуі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тиіс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43A5CA52" w14:textId="77777777" w:rsidR="00A3177A" w:rsidRPr="00A3177A" w:rsidRDefault="00A3177A" w:rsidP="00A3177A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ab/>
        <w:t>•</w:t>
      </w: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ab/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Талаптарға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сәйкес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келмейтін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материалдар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қарастырылмайды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4A4F810F" w14:textId="77777777" w:rsidR="00A3177A" w:rsidRPr="00A3177A" w:rsidRDefault="00A3177A" w:rsidP="00A3177A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ab/>
        <w:t>•</w:t>
      </w: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ab/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Мақала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мазмұнына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жауапкершілік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авторларға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жүктеледі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1C70F238" w14:textId="6716EB0C" w:rsidR="008C6C32" w:rsidRPr="008C6C32" w:rsidRDefault="00A3177A" w:rsidP="00A3177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ab/>
        <w:t>•</w:t>
      </w:r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ab/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Ұйымдастыру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комитеті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материалдарды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іріктеу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құқығын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өзіне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қалдырады</w:t>
      </w:r>
      <w:proofErr w:type="spellEnd"/>
      <w:r w:rsidRPr="00A3177A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14:paraId="63B0DA99" w14:textId="77777777" w:rsidR="00A3177A" w:rsidRDefault="00A3177A" w:rsidP="005E34C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B2DBC0B" w14:textId="443C9870" w:rsidR="005E34C7" w:rsidRPr="00E9677B" w:rsidRDefault="005E34C7" w:rsidP="005E34C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9677B">
        <w:rPr>
          <w:rFonts w:ascii="Times New Roman" w:eastAsia="Times New Roman" w:hAnsi="Times New Roman"/>
          <w:b/>
          <w:bCs/>
          <w:sz w:val="24"/>
          <w:szCs w:val="24"/>
        </w:rPr>
        <w:t>ЗАЯВКА</w:t>
      </w:r>
    </w:p>
    <w:p w14:paraId="12B25CEE" w14:textId="5DBA041C" w:rsidR="005E34C7" w:rsidRPr="00E9677B" w:rsidRDefault="005E34C7" w:rsidP="00A3177A">
      <w:pPr>
        <w:spacing w:afterLines="40" w:after="96"/>
        <w:ind w:firstLine="567"/>
        <w:jc w:val="center"/>
        <w:rPr>
          <w:rFonts w:ascii="Times New Roman" w:hAnsi="Times New Roman"/>
          <w:b/>
          <w:szCs w:val="20"/>
        </w:rPr>
      </w:pPr>
      <w:r w:rsidRPr="00E9677B">
        <w:rPr>
          <w:rFonts w:ascii="Times New Roman" w:eastAsia="Times New Roman" w:hAnsi="Times New Roman"/>
          <w:b/>
          <w:szCs w:val="24"/>
        </w:rPr>
        <w:t xml:space="preserve">на участие </w:t>
      </w:r>
      <w:r w:rsidRPr="00E9677B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E9677B">
        <w:rPr>
          <w:rFonts w:ascii="Times New Roman" w:hAnsi="Times New Roman"/>
          <w:b/>
          <w:szCs w:val="20"/>
        </w:rPr>
        <w:t>Международной научно-методической конференции «ИННОВА</w:t>
      </w:r>
      <w:r w:rsidR="00983A82">
        <w:rPr>
          <w:rFonts w:ascii="Times New Roman" w:hAnsi="Times New Roman"/>
          <w:b/>
          <w:szCs w:val="20"/>
        </w:rPr>
        <w:t>-</w:t>
      </w:r>
      <w:r w:rsidRPr="00E9677B">
        <w:rPr>
          <w:rFonts w:ascii="Times New Roman" w:hAnsi="Times New Roman"/>
          <w:b/>
          <w:szCs w:val="20"/>
        </w:rPr>
        <w:t xml:space="preserve"> 202</w:t>
      </w:r>
      <w:r w:rsidR="00F91091">
        <w:rPr>
          <w:rFonts w:ascii="Times New Roman" w:hAnsi="Times New Roman"/>
          <w:b/>
          <w:szCs w:val="20"/>
        </w:rPr>
        <w:t>5</w:t>
      </w:r>
      <w:r w:rsidRPr="00E9677B">
        <w:rPr>
          <w:rFonts w:ascii="Times New Roman" w:hAnsi="Times New Roman"/>
          <w:b/>
          <w:szCs w:val="20"/>
        </w:rPr>
        <w:t xml:space="preserve">»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4"/>
        <w:gridCol w:w="2953"/>
      </w:tblGrid>
      <w:tr w:rsidR="005E34C7" w:rsidRPr="0016084E" w14:paraId="5AF45BC3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CA4F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Фамилия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2D37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4B6976B9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3E4D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Имя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F07A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72F62B3D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8188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Отчество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0E95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F1EEC88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BD71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Место работы (учебы)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82AC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4431787E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4F466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Должность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C278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B5199C6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6033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Ученая степень (если есть)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69FB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EAA91A2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527BB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Звание (если есть)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12DD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03FA032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DC87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val="en-US" w:eastAsia="zh-CN"/>
              </w:rPr>
              <w:t>e</w:t>
            </w: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-</w:t>
            </w:r>
            <w:r w:rsidRPr="0016084E">
              <w:rPr>
                <w:rFonts w:ascii="Times New Roman" w:eastAsia="Times New Roman" w:hAnsi="Times New Roman"/>
                <w:sz w:val="20"/>
                <w:lang w:val="en-US" w:eastAsia="zh-CN"/>
              </w:rPr>
              <w:t>mail</w:t>
            </w: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, контактный телефон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F75D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02E1873D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19048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Тема доклада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E622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3B238E9F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DD51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 xml:space="preserve">Направление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4213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779819CC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3AAF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Язык доклада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2C03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0613C1" w14:paraId="4ECC6894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957B" w14:textId="77777777" w:rsidR="005E34C7" w:rsidRPr="000613C1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</w:pPr>
            <w:r w:rsidRPr="000613C1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>Форма участия (выступление на секции с докладом/публикация статьи)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5897" w14:textId="77777777" w:rsidR="005E34C7" w:rsidRPr="000613C1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</w:pPr>
          </w:p>
        </w:tc>
      </w:tr>
    </w:tbl>
    <w:p w14:paraId="5E3B5762" w14:textId="3B506224" w:rsidR="00B812B7" w:rsidRPr="005E34C7" w:rsidRDefault="00B812B7" w:rsidP="002C326A">
      <w:pPr>
        <w:spacing w:before="100" w:beforeAutospacing="1" w:after="100" w:afterAutospacing="1" w:line="240" w:lineRule="auto"/>
      </w:pPr>
    </w:p>
    <w:sectPr w:rsidR="00B812B7" w:rsidRPr="005E34C7" w:rsidSect="004B3B5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F166" w14:textId="77777777" w:rsidR="00546E45" w:rsidRDefault="00546E45" w:rsidP="00983A82">
      <w:pPr>
        <w:spacing w:after="0" w:line="240" w:lineRule="auto"/>
      </w:pPr>
      <w:r>
        <w:separator/>
      </w:r>
    </w:p>
  </w:endnote>
  <w:endnote w:type="continuationSeparator" w:id="0">
    <w:p w14:paraId="627FD90A" w14:textId="77777777" w:rsidR="00546E45" w:rsidRDefault="00546E45" w:rsidP="0098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B6F8" w14:textId="77777777" w:rsidR="00546E45" w:rsidRDefault="00546E45" w:rsidP="00983A82">
      <w:pPr>
        <w:spacing w:after="0" w:line="240" w:lineRule="auto"/>
      </w:pPr>
      <w:r>
        <w:separator/>
      </w:r>
    </w:p>
  </w:footnote>
  <w:footnote w:type="continuationSeparator" w:id="0">
    <w:p w14:paraId="3D33644C" w14:textId="77777777" w:rsidR="00546E45" w:rsidRDefault="00546E45" w:rsidP="0098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9E4"/>
    <w:multiLevelType w:val="hybridMultilevel"/>
    <w:tmpl w:val="F918D730"/>
    <w:lvl w:ilvl="0" w:tplc="D99A97E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2D0523"/>
    <w:multiLevelType w:val="hybridMultilevel"/>
    <w:tmpl w:val="5240D0C2"/>
    <w:lvl w:ilvl="0" w:tplc="296A0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37686"/>
    <w:multiLevelType w:val="multilevel"/>
    <w:tmpl w:val="7E22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53CF9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7"/>
    <w:rsid w:val="00031B51"/>
    <w:rsid w:val="000613C1"/>
    <w:rsid w:val="0010306D"/>
    <w:rsid w:val="001359BB"/>
    <w:rsid w:val="00137147"/>
    <w:rsid w:val="0016084E"/>
    <w:rsid w:val="001A020E"/>
    <w:rsid w:val="001A0D42"/>
    <w:rsid w:val="001A7DED"/>
    <w:rsid w:val="001B5BC4"/>
    <w:rsid w:val="001E4C66"/>
    <w:rsid w:val="00213BA6"/>
    <w:rsid w:val="002223FE"/>
    <w:rsid w:val="00222464"/>
    <w:rsid w:val="00243230"/>
    <w:rsid w:val="00261808"/>
    <w:rsid w:val="002848A4"/>
    <w:rsid w:val="00290EDC"/>
    <w:rsid w:val="002968B4"/>
    <w:rsid w:val="002A0AEE"/>
    <w:rsid w:val="002A0D42"/>
    <w:rsid w:val="002B06CA"/>
    <w:rsid w:val="002C326A"/>
    <w:rsid w:val="002E0924"/>
    <w:rsid w:val="00305C5D"/>
    <w:rsid w:val="00333501"/>
    <w:rsid w:val="003352EF"/>
    <w:rsid w:val="0038094C"/>
    <w:rsid w:val="00406572"/>
    <w:rsid w:val="0041717E"/>
    <w:rsid w:val="0046062A"/>
    <w:rsid w:val="00462626"/>
    <w:rsid w:val="00474D34"/>
    <w:rsid w:val="00480F0F"/>
    <w:rsid w:val="004B3B51"/>
    <w:rsid w:val="004E4AFB"/>
    <w:rsid w:val="004F1090"/>
    <w:rsid w:val="00504EC5"/>
    <w:rsid w:val="00520B55"/>
    <w:rsid w:val="00525E99"/>
    <w:rsid w:val="00546E45"/>
    <w:rsid w:val="005D6AE9"/>
    <w:rsid w:val="005E34C7"/>
    <w:rsid w:val="006106DE"/>
    <w:rsid w:val="00717CAC"/>
    <w:rsid w:val="00721CD0"/>
    <w:rsid w:val="00726B75"/>
    <w:rsid w:val="00747BD1"/>
    <w:rsid w:val="007E2CD0"/>
    <w:rsid w:val="00815F4E"/>
    <w:rsid w:val="00822405"/>
    <w:rsid w:val="00841B00"/>
    <w:rsid w:val="00847782"/>
    <w:rsid w:val="00884610"/>
    <w:rsid w:val="008B4547"/>
    <w:rsid w:val="008C6C32"/>
    <w:rsid w:val="008E4BDB"/>
    <w:rsid w:val="00972709"/>
    <w:rsid w:val="00983A82"/>
    <w:rsid w:val="0098745B"/>
    <w:rsid w:val="009F790F"/>
    <w:rsid w:val="00A07709"/>
    <w:rsid w:val="00A3177A"/>
    <w:rsid w:val="00A957CC"/>
    <w:rsid w:val="00AA6F42"/>
    <w:rsid w:val="00AF0956"/>
    <w:rsid w:val="00B3055D"/>
    <w:rsid w:val="00B76FFE"/>
    <w:rsid w:val="00B812B7"/>
    <w:rsid w:val="00B93DBE"/>
    <w:rsid w:val="00C44512"/>
    <w:rsid w:val="00C61C2C"/>
    <w:rsid w:val="00C62947"/>
    <w:rsid w:val="00C66DDD"/>
    <w:rsid w:val="00C83AEC"/>
    <w:rsid w:val="00C97221"/>
    <w:rsid w:val="00CB0404"/>
    <w:rsid w:val="00D61EB2"/>
    <w:rsid w:val="00D7114A"/>
    <w:rsid w:val="00D91CDC"/>
    <w:rsid w:val="00DE5683"/>
    <w:rsid w:val="00E1415A"/>
    <w:rsid w:val="00E213E9"/>
    <w:rsid w:val="00E40209"/>
    <w:rsid w:val="00E81C86"/>
    <w:rsid w:val="00E938F6"/>
    <w:rsid w:val="00E9677B"/>
    <w:rsid w:val="00F173E2"/>
    <w:rsid w:val="00F60DD5"/>
    <w:rsid w:val="00F712C5"/>
    <w:rsid w:val="00F80365"/>
    <w:rsid w:val="00F91091"/>
    <w:rsid w:val="00F92D32"/>
    <w:rsid w:val="00F9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9E45B"/>
  <w15:docId w15:val="{9149BC30-9661-47DD-B4A2-EA567DA7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12B7"/>
    <w:rPr>
      <w:i/>
      <w:iCs/>
    </w:rPr>
  </w:style>
  <w:style w:type="character" w:styleId="a5">
    <w:name w:val="Hyperlink"/>
    <w:basedOn w:val="a0"/>
    <w:uiPriority w:val="99"/>
    <w:semiHidden/>
    <w:unhideWhenUsed/>
    <w:rsid w:val="00B812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24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4C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7">
    <w:name w:val="Основной текст_"/>
    <w:link w:val="2"/>
    <w:rsid w:val="005E34C7"/>
    <w:rPr>
      <w:rFonts w:ascii="Times New Roman" w:eastAsia="Times New Roman" w:hAnsi="Times New Roman"/>
      <w:spacing w:val="22"/>
      <w:shd w:val="clear" w:color="auto" w:fill="FFFFFF"/>
    </w:rPr>
  </w:style>
  <w:style w:type="character" w:customStyle="1" w:styleId="3">
    <w:name w:val="Заголовок №3_"/>
    <w:link w:val="30"/>
    <w:rsid w:val="005E34C7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5E34C7"/>
    <w:pPr>
      <w:shd w:val="clear" w:color="auto" w:fill="FFFFFF"/>
      <w:spacing w:after="240" w:line="278" w:lineRule="exact"/>
      <w:ind w:hanging="340"/>
      <w:jc w:val="both"/>
    </w:pPr>
    <w:rPr>
      <w:rFonts w:ascii="Times New Roman" w:eastAsia="Times New Roman" w:hAnsi="Times New Roman"/>
      <w:spacing w:val="22"/>
    </w:rPr>
  </w:style>
  <w:style w:type="paragraph" w:customStyle="1" w:styleId="30">
    <w:name w:val="Заголовок №3"/>
    <w:basedOn w:val="a"/>
    <w:link w:val="3"/>
    <w:rsid w:val="005E34C7"/>
    <w:pPr>
      <w:shd w:val="clear" w:color="auto" w:fill="FFFFFF"/>
      <w:spacing w:after="0" w:line="283" w:lineRule="exact"/>
      <w:jc w:val="center"/>
      <w:outlineLvl w:val="2"/>
    </w:pPr>
    <w:rPr>
      <w:rFonts w:ascii="Times New Roman" w:eastAsia="Times New Roman" w:hAnsi="Times New Roman"/>
      <w:spacing w:val="20"/>
    </w:rPr>
  </w:style>
  <w:style w:type="paragraph" w:styleId="a8">
    <w:name w:val="No Spacing"/>
    <w:uiPriority w:val="1"/>
    <w:qFormat/>
    <w:rsid w:val="005E34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E34C7"/>
  </w:style>
  <w:style w:type="paragraph" w:styleId="a9">
    <w:name w:val="Balloon Text"/>
    <w:basedOn w:val="a"/>
    <w:link w:val="aa"/>
    <w:uiPriority w:val="99"/>
    <w:semiHidden/>
    <w:unhideWhenUsed/>
    <w:rsid w:val="0071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CAC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7C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7CA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7CA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7C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7CAC"/>
    <w:rPr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B3055D"/>
    <w:rPr>
      <w:b/>
      <w:bCs/>
    </w:rPr>
  </w:style>
  <w:style w:type="table" w:styleId="af1">
    <w:name w:val="Table Grid"/>
    <w:basedOn w:val="a1"/>
    <w:uiPriority w:val="39"/>
    <w:rsid w:val="0081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8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83A82"/>
  </w:style>
  <w:style w:type="paragraph" w:styleId="af4">
    <w:name w:val="footer"/>
    <w:basedOn w:val="a"/>
    <w:link w:val="af5"/>
    <w:uiPriority w:val="99"/>
    <w:unhideWhenUsed/>
    <w:rsid w:val="0098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8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980C-EB35-41BB-B45E-A94143EA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2025-02-26T06:23:00Z</cp:lastPrinted>
  <dcterms:created xsi:type="dcterms:W3CDTF">2025-03-04T11:02:00Z</dcterms:created>
  <dcterms:modified xsi:type="dcterms:W3CDTF">2025-03-04T11:11:00Z</dcterms:modified>
</cp:coreProperties>
</file>