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77" w:rsidRPr="001B2194" w:rsidRDefault="00662B77" w:rsidP="00662B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194">
        <w:rPr>
          <w:rFonts w:ascii="Times New Roman" w:hAnsi="Times New Roman" w:cs="Times New Roman"/>
          <w:b/>
          <w:sz w:val="28"/>
          <w:szCs w:val="28"/>
        </w:rPr>
        <w:t xml:space="preserve">Рубежная контрольная работа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B2194">
        <w:rPr>
          <w:rFonts w:ascii="Times New Roman" w:hAnsi="Times New Roman" w:cs="Times New Roman"/>
          <w:b/>
          <w:sz w:val="28"/>
          <w:szCs w:val="28"/>
        </w:rPr>
        <w:t xml:space="preserve"> (РК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B2194">
        <w:rPr>
          <w:rFonts w:ascii="Times New Roman" w:hAnsi="Times New Roman" w:cs="Times New Roman"/>
          <w:b/>
          <w:sz w:val="28"/>
          <w:szCs w:val="28"/>
        </w:rPr>
        <w:t>)</w:t>
      </w:r>
    </w:p>
    <w:p w:rsidR="00662B77" w:rsidRDefault="00662B77" w:rsidP="00662B77">
      <w:pPr>
        <w:jc w:val="both"/>
        <w:rPr>
          <w:rFonts w:ascii="Times New Roman" w:hAnsi="Times New Roman" w:cs="Times New Roman"/>
          <w:sz w:val="28"/>
          <w:szCs w:val="28"/>
        </w:rPr>
      </w:pPr>
      <w:r w:rsidRPr="00662B77">
        <w:rPr>
          <w:rFonts w:ascii="Times New Roman" w:hAnsi="Times New Roman" w:cs="Times New Roman"/>
          <w:sz w:val="28"/>
          <w:szCs w:val="28"/>
        </w:rPr>
        <w:t>Контрольная работа будет проведена в форме письменного опроса по темам «Организация деятельности фондовой биржи» и «Фондовые индексы и индикаторы».</w:t>
      </w:r>
    </w:p>
    <w:p w:rsidR="00662B77" w:rsidRDefault="00662B77" w:rsidP="00662B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для подготовки к контрольной работе:</w:t>
      </w:r>
    </w:p>
    <w:p w:rsidR="00662B77" w:rsidRDefault="00662B77" w:rsidP="00662B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«фондовая биржа»</w:t>
      </w:r>
    </w:p>
    <w:p w:rsidR="00662B77" w:rsidRDefault="00662B77" w:rsidP="00662B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фондовой биржи</w:t>
      </w:r>
    </w:p>
    <w:p w:rsidR="00662B77" w:rsidRDefault="00662B77" w:rsidP="00662B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фондовой биржи</w:t>
      </w:r>
    </w:p>
    <w:p w:rsidR="00662B77" w:rsidRDefault="00662B77" w:rsidP="00662B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Структурные подразделения фондовой биржи</w:t>
      </w:r>
    </w:p>
    <w:p w:rsidR="00662B77" w:rsidRDefault="00662B77" w:rsidP="00662B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участники биржевых торгов</w:t>
      </w:r>
    </w:p>
    <w:p w:rsidR="00662B77" w:rsidRDefault="00662B77" w:rsidP="00662B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Брокеры и их обязанности</w:t>
      </w:r>
    </w:p>
    <w:p w:rsidR="00662B77" w:rsidRDefault="00662B77" w:rsidP="00662B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участников биржевой торговли по поведению («медведи», «быки»)</w:t>
      </w:r>
    </w:p>
    <w:p w:rsidR="00662B77" w:rsidRDefault="00662B77" w:rsidP="00662B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управления биржей</w:t>
      </w:r>
    </w:p>
    <w:p w:rsidR="00662B77" w:rsidRDefault="00662B77" w:rsidP="00662B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биржевой торговли ценными бумагами</w:t>
      </w:r>
    </w:p>
    <w:p w:rsidR="00662B77" w:rsidRDefault="00662B77" w:rsidP="00662B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биржевые сделки</w:t>
      </w:r>
    </w:p>
    <w:p w:rsidR="00662B77" w:rsidRDefault="00662B77" w:rsidP="00662B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Электронные торги</w:t>
      </w:r>
    </w:p>
    <w:p w:rsidR="00662B77" w:rsidRDefault="00662B77" w:rsidP="00662B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аукциона и его разновидности</w:t>
      </w:r>
    </w:p>
    <w:p w:rsidR="00662B77" w:rsidRDefault="00662B77" w:rsidP="00662B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Казахстанская фондовая биржа</w:t>
      </w:r>
    </w:p>
    <w:p w:rsidR="00662B77" w:rsidRPr="00662B77" w:rsidRDefault="00662B77" w:rsidP="00662B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2B77">
        <w:rPr>
          <w:rFonts w:ascii="Times New Roman" w:eastAsia="Times New Roman" w:hAnsi="Times New Roman" w:cs="Times New Roman"/>
          <w:sz w:val="28"/>
          <w:szCs w:val="28"/>
        </w:rPr>
        <w:t>Индекс</w:t>
      </w:r>
      <w:r w:rsidRPr="00662B7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KASE</w:t>
      </w:r>
      <w:r w:rsidRPr="00662B77">
        <w:rPr>
          <w:rFonts w:ascii="Times New Roman" w:eastAsia="Times New Roman" w:hAnsi="Times New Roman"/>
          <w:sz w:val="28"/>
          <w:szCs w:val="28"/>
          <w:lang w:val="en-US"/>
        </w:rPr>
        <w:t xml:space="preserve">,  </w:t>
      </w:r>
      <w:r w:rsidRPr="00662B77">
        <w:rPr>
          <w:rFonts w:ascii="Times New Roman" w:eastAsia="Times New Roman" w:hAnsi="Times New Roman" w:cs="Times New Roman"/>
          <w:sz w:val="28"/>
          <w:szCs w:val="28"/>
          <w:lang w:val="en-US"/>
        </w:rPr>
        <w:t>TONIA</w:t>
      </w:r>
      <w:r w:rsidRPr="00662B77">
        <w:rPr>
          <w:rFonts w:ascii="Times New Roman" w:eastAsia="Times New Roman" w:hAnsi="Times New Roman"/>
          <w:sz w:val="28"/>
          <w:szCs w:val="28"/>
          <w:lang w:val="en-US"/>
        </w:rPr>
        <w:t xml:space="preserve">, </w:t>
      </w:r>
      <w:r w:rsidRPr="00662B77">
        <w:rPr>
          <w:rFonts w:ascii="Times New Roman" w:eastAsia="Times New Roman" w:hAnsi="Times New Roman" w:cs="Times New Roman"/>
          <w:sz w:val="28"/>
          <w:szCs w:val="28"/>
          <w:lang w:val="en-US"/>
        </w:rPr>
        <w:t>TWINA</w:t>
      </w:r>
      <w:r w:rsidRPr="00662B77">
        <w:rPr>
          <w:rFonts w:ascii="Times New Roman" w:eastAsia="Times New Roman" w:hAnsi="Times New Roman"/>
          <w:sz w:val="28"/>
          <w:szCs w:val="28"/>
          <w:lang w:val="en-US"/>
        </w:rPr>
        <w:t xml:space="preserve">,  </w:t>
      </w:r>
      <w:r w:rsidRPr="00662B77">
        <w:rPr>
          <w:rFonts w:ascii="Times New Roman" w:eastAsia="Times New Roman" w:hAnsi="Times New Roman" w:cs="Times New Roman"/>
          <w:sz w:val="28"/>
          <w:szCs w:val="28"/>
          <w:lang w:val="en-US"/>
        </w:rPr>
        <w:t>KIBOR</w:t>
      </w:r>
      <w:r w:rsidRPr="00662B77">
        <w:rPr>
          <w:rFonts w:ascii="Times New Roman" w:eastAsia="Times New Roman" w:hAnsi="Times New Roman"/>
          <w:sz w:val="28"/>
          <w:szCs w:val="28"/>
          <w:lang w:val="en-US"/>
        </w:rPr>
        <w:t xml:space="preserve">, </w:t>
      </w:r>
      <w:proofErr w:type="spellStart"/>
      <w:r w:rsidRPr="00662B77">
        <w:rPr>
          <w:rFonts w:ascii="Times New Roman" w:eastAsia="Times New Roman" w:hAnsi="Times New Roman" w:cs="Times New Roman"/>
          <w:sz w:val="28"/>
          <w:szCs w:val="28"/>
          <w:lang w:val="en-US"/>
        </w:rPr>
        <w:t>KazPrime</w:t>
      </w:r>
      <w:proofErr w:type="spellEnd"/>
    </w:p>
    <w:p w:rsidR="00662B77" w:rsidRPr="00DE1EF5" w:rsidRDefault="00DE1EF5" w:rsidP="00662B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Биржевой приказ и его виды</w:t>
      </w:r>
    </w:p>
    <w:p w:rsidR="00226A4C" w:rsidRPr="00226A4C" w:rsidRDefault="00DE1EF5" w:rsidP="00226A4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Биржевые сделки и их классификация</w:t>
      </w:r>
    </w:p>
    <w:p w:rsidR="00DE1EF5" w:rsidRPr="00226A4C" w:rsidRDefault="00DE1EF5" w:rsidP="00226A4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6A4C">
        <w:rPr>
          <w:rFonts w:ascii="Times New Roman" w:hAnsi="Times New Roman" w:cs="Times New Roman"/>
          <w:sz w:val="28"/>
          <w:szCs w:val="28"/>
        </w:rPr>
        <w:t>Индекс Доу-Джонса и его виды: промышленный, транспортный, коммуникационный и сводный.</w:t>
      </w:r>
    </w:p>
    <w:p w:rsidR="00DE1EF5" w:rsidRPr="00DE1EF5" w:rsidRDefault="00DE1EF5" w:rsidP="00DE1E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DE1EF5" w:rsidRDefault="00226A4C"/>
    <w:sectPr w:rsidR="00000000" w:rsidRPr="00DE1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4769E"/>
    <w:multiLevelType w:val="hybridMultilevel"/>
    <w:tmpl w:val="AB44C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27233"/>
    <w:multiLevelType w:val="hybridMultilevel"/>
    <w:tmpl w:val="0D0000EA"/>
    <w:lvl w:ilvl="0" w:tplc="83361224">
      <w:start w:val="65535"/>
      <w:numFmt w:val="bullet"/>
      <w:lvlText w:val="•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2B77"/>
    <w:rsid w:val="00226A4C"/>
    <w:rsid w:val="00662B77"/>
    <w:rsid w:val="00DE1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B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2014-09-09T08:19:00Z</dcterms:created>
  <dcterms:modified xsi:type="dcterms:W3CDTF">2014-09-09T08:45:00Z</dcterms:modified>
</cp:coreProperties>
</file>