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FD" w:rsidRPr="003645AD" w:rsidRDefault="00846099" w:rsidP="003645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3645AD" w:rsidRPr="003645AD">
        <w:rPr>
          <w:rFonts w:ascii="Times New Roman" w:hAnsi="Times New Roman" w:cs="Times New Roman"/>
          <w:sz w:val="28"/>
          <w:szCs w:val="28"/>
        </w:rPr>
        <w:t>4</w:t>
      </w:r>
    </w:p>
    <w:p w:rsidR="00846099" w:rsidRDefault="00846099" w:rsidP="003645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5AD">
        <w:rPr>
          <w:rFonts w:ascii="Times New Roman" w:hAnsi="Times New Roman" w:cs="Times New Roman"/>
          <w:b/>
          <w:sz w:val="28"/>
          <w:szCs w:val="28"/>
        </w:rPr>
        <w:t>Экологический аудит</w:t>
      </w:r>
    </w:p>
    <w:p w:rsidR="003645AD" w:rsidRPr="003645AD" w:rsidRDefault="003645AD" w:rsidP="003645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099" w:rsidRDefault="00846099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b/>
          <w:sz w:val="28"/>
          <w:szCs w:val="28"/>
        </w:rPr>
        <w:t>Цель:</w:t>
      </w:r>
      <w:r w:rsidR="003645AD" w:rsidRPr="003645AD">
        <w:rPr>
          <w:rFonts w:ascii="Times New Roman" w:hAnsi="Times New Roman" w:cs="Times New Roman"/>
          <w:sz w:val="28"/>
          <w:szCs w:val="28"/>
        </w:rPr>
        <w:t xml:space="preserve"> изучить правовые и организационные основы проведения ЭА, методологию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5A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1 Понятие ЭА, развитие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Этапы проведения ЭА.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3 Схема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4 </w:t>
      </w:r>
      <w:r w:rsidR="00C3344F">
        <w:rPr>
          <w:rFonts w:ascii="Times New Roman" w:hAnsi="Times New Roman" w:cs="Times New Roman"/>
          <w:sz w:val="28"/>
          <w:szCs w:val="28"/>
        </w:rPr>
        <w:t>Заключение</w:t>
      </w:r>
      <w:r w:rsidRPr="003645AD">
        <w:rPr>
          <w:rFonts w:ascii="Times New Roman" w:hAnsi="Times New Roman" w:cs="Times New Roman"/>
          <w:sz w:val="28"/>
          <w:szCs w:val="28"/>
        </w:rPr>
        <w:t xml:space="preserve"> ЭА.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5AD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1 Что собой представляет ЭА?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чем отличие ЭА от ОВОС, ЭЭ?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>аковы принципы проведения ЭА?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аковы требования к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экоаудиторам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акова последовательность операций в схеме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>акие виды ЭА сложились и в чем их отличие?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3645AD">
        <w:rPr>
          <w:rFonts w:ascii="Times New Roman" w:hAnsi="Times New Roman" w:cs="Times New Roman"/>
          <w:sz w:val="28"/>
          <w:szCs w:val="28"/>
        </w:rPr>
        <w:t xml:space="preserve">: [13, с.3-5], [14, с. 6-12] </w:t>
      </w:r>
    </w:p>
    <w:p w:rsidR="00846099" w:rsidRPr="003645AD" w:rsidRDefault="00846099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5AD">
        <w:rPr>
          <w:rFonts w:ascii="Times New Roman" w:hAnsi="Times New Roman" w:cs="Times New Roman"/>
          <w:b/>
          <w:sz w:val="28"/>
          <w:szCs w:val="28"/>
        </w:rPr>
        <w:t xml:space="preserve">1 Понятие ЭА, развитие </w:t>
      </w:r>
      <w:proofErr w:type="spellStart"/>
      <w:r w:rsidRPr="003645AD">
        <w:rPr>
          <w:rFonts w:ascii="Times New Roman" w:hAnsi="Times New Roman" w:cs="Times New Roman"/>
          <w:b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b/>
          <w:sz w:val="28"/>
          <w:szCs w:val="28"/>
        </w:rPr>
        <w:t>.</w:t>
      </w:r>
    </w:p>
    <w:p w:rsidR="003645AD" w:rsidRPr="003645AD" w:rsidRDefault="003645AD" w:rsidP="003645AD">
      <w:pPr>
        <w:pStyle w:val="2"/>
        <w:widowControl w:val="0"/>
        <w:spacing w:line="240" w:lineRule="auto"/>
        <w:ind w:firstLine="709"/>
        <w:rPr>
          <w:sz w:val="28"/>
          <w:szCs w:val="28"/>
        </w:rPr>
      </w:pPr>
      <w:proofErr w:type="gramStart"/>
      <w:r w:rsidRPr="003645AD">
        <w:rPr>
          <w:sz w:val="28"/>
          <w:szCs w:val="28"/>
        </w:rPr>
        <w:t>Экономический механизм</w:t>
      </w:r>
      <w:proofErr w:type="gramEnd"/>
      <w:r w:rsidRPr="003645AD">
        <w:rPr>
          <w:sz w:val="28"/>
          <w:szCs w:val="28"/>
        </w:rPr>
        <w:t xml:space="preserve"> экологического регулирования – сложная многоуровневая система отношений субъектов хозяйствования между собой и с вышестоящими органами. Связующим рычагом этих отношений является </w:t>
      </w:r>
      <w:r w:rsidRPr="003645AD">
        <w:rPr>
          <w:bCs/>
          <w:i/>
          <w:iCs/>
          <w:sz w:val="28"/>
          <w:szCs w:val="28"/>
        </w:rPr>
        <w:t>экологический аудит (ЭА)</w:t>
      </w:r>
      <w:r w:rsidRPr="003645AD">
        <w:rPr>
          <w:sz w:val="28"/>
          <w:szCs w:val="28"/>
        </w:rPr>
        <w:t xml:space="preserve"> – инструмент, включающий в себя организационно-экономические факторы защиты окружающей среды. Он позволяет выбрать оптимальный вариант природоохранных сооружений, организовать информационно-аналитический </w:t>
      </w:r>
      <w:proofErr w:type="gramStart"/>
      <w:r w:rsidRPr="003645AD">
        <w:rPr>
          <w:sz w:val="28"/>
          <w:szCs w:val="28"/>
        </w:rPr>
        <w:t>контроль за</w:t>
      </w:r>
      <w:proofErr w:type="gramEnd"/>
      <w:r w:rsidRPr="003645AD">
        <w:rPr>
          <w:sz w:val="28"/>
          <w:szCs w:val="28"/>
        </w:rPr>
        <w:t xml:space="preserve"> состоянием и степенью эксплуатации природоохранной техники, дать экономическую оценку намечаемых технических и технологических усовершенствований.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5AD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проводится на уровнях: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государственных структур;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транснациональных корпораций;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отрасли</w:t>
      </w:r>
      <w:r w:rsidRPr="003645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5AD">
        <w:rPr>
          <w:rFonts w:ascii="Times New Roman" w:hAnsi="Times New Roman" w:cs="Times New Roman"/>
          <w:sz w:val="28"/>
          <w:szCs w:val="28"/>
        </w:rPr>
        <w:t>(структурное – оценивается соответствие общему экологическому курсу отрасли; проблемное – аудит состояния решения конкретной экологической проблемы отрасли);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территории</w:t>
      </w:r>
      <w:r w:rsidRPr="003645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5AD">
        <w:rPr>
          <w:rFonts w:ascii="Times New Roman" w:hAnsi="Times New Roman" w:cs="Times New Roman"/>
          <w:sz w:val="28"/>
          <w:szCs w:val="28"/>
        </w:rPr>
        <w:t>(региона</w:t>
      </w:r>
      <w:r w:rsidRPr="003645AD">
        <w:rPr>
          <w:rFonts w:ascii="Times New Roman" w:hAnsi="Times New Roman" w:cs="Times New Roman"/>
          <w:i/>
          <w:sz w:val="28"/>
          <w:szCs w:val="28"/>
        </w:rPr>
        <w:t>);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3645AD" w:rsidRPr="003645AD" w:rsidRDefault="003645AD" w:rsidP="003645AD">
      <w:pPr>
        <w:widowControl w:val="0"/>
        <w:numPr>
          <w:ilvl w:val="0"/>
          <w:numId w:val="1"/>
        </w:numPr>
        <w:tabs>
          <w:tab w:val="clear" w:pos="1259"/>
          <w:tab w:val="num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предприятия</w:t>
      </w:r>
      <w:r w:rsidRPr="003645AD">
        <w:rPr>
          <w:rFonts w:ascii="Times New Roman" w:hAnsi="Times New Roman" w:cs="Times New Roman"/>
          <w:i/>
          <w:sz w:val="28"/>
          <w:szCs w:val="28"/>
        </w:rPr>
        <w:t>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Концепция экологического аудита, разработанная в конце 70-х годов в США, впервые использовалась на практике для проверки соблюдения компаниями экологических требований законов, законодательных актов и нормативов. 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Экологический аудит представляет собой комплексный, документированный верификационный процесс объективного выявления и </w:t>
      </w:r>
      <w:r w:rsidRPr="003645AD">
        <w:rPr>
          <w:rFonts w:ascii="Times New Roman" w:hAnsi="Times New Roman" w:cs="Times New Roman"/>
          <w:sz w:val="28"/>
          <w:szCs w:val="28"/>
        </w:rPr>
        <w:lastRenderedPageBreak/>
        <w:t xml:space="preserve">оценки сведений для определения соответствия критериям проверки конкретных экологических мероприятий, видов деятельности, условий, управленческих систем или информации о них и информирования потребителя о полученных в ходе указанного процесса результатах. 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Теория аудита на Западе ограничивается рассмотрением следующих видов аудита:</w:t>
      </w:r>
    </w:p>
    <w:p w:rsidR="003645AD" w:rsidRPr="003645AD" w:rsidRDefault="003645AD" w:rsidP="003645AD">
      <w:pPr>
        <w:widowControl w:val="0"/>
        <w:numPr>
          <w:ilvl w:val="0"/>
          <w:numId w:val="2"/>
        </w:numPr>
        <w:tabs>
          <w:tab w:val="clear" w:pos="1259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bCs/>
          <w:i/>
          <w:iCs/>
          <w:sz w:val="28"/>
          <w:szCs w:val="28"/>
        </w:rPr>
        <w:t>операционный аудит</w:t>
      </w:r>
      <w:r w:rsidRPr="003645AD">
        <w:rPr>
          <w:rFonts w:ascii="Times New Roman" w:hAnsi="Times New Roman" w:cs="Times New Roman"/>
          <w:sz w:val="28"/>
          <w:szCs w:val="28"/>
        </w:rPr>
        <w:t xml:space="preserve"> – проверка процедур и методов функционирования компании в целях оценки ее производительности и эффективности;</w:t>
      </w:r>
    </w:p>
    <w:p w:rsidR="003645AD" w:rsidRPr="003645AD" w:rsidRDefault="003645AD" w:rsidP="003645AD">
      <w:pPr>
        <w:widowControl w:val="0"/>
        <w:numPr>
          <w:ilvl w:val="0"/>
          <w:numId w:val="2"/>
        </w:numPr>
        <w:tabs>
          <w:tab w:val="clear" w:pos="1259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аудит на соответствие деятельности компании нормативным актам, и указаниям руководства (администрации), предписаниям;</w:t>
      </w:r>
    </w:p>
    <w:p w:rsidR="003645AD" w:rsidRPr="003645AD" w:rsidRDefault="003645AD" w:rsidP="003645AD">
      <w:pPr>
        <w:widowControl w:val="0"/>
        <w:numPr>
          <w:ilvl w:val="0"/>
          <w:numId w:val="2"/>
        </w:numPr>
        <w:tabs>
          <w:tab w:val="clear" w:pos="1259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аудит бухгалтерской отчетности на ее соответствие законодательству и инструкциям по бухгалтерскому учету.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Необходимость оценки соответствия деятельности предприятия требованиям законодательства о безопасности, об охране окружающей среды, о рациональном природопользовании, о защите от чрезвычайных ситуаций природного и техногенного характера обусловили развитие в России экологического аудита. Экологический аудит находит все большее применение как инструмент управления состоянием окружающей среды, базирующийся на результатах оценки и анализа природоохранной деятельности предприятий.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В качестве объекта экологического аудита рассматривается предприятие (организация, учреждение), осуществляющее промышленно-хозяйственную, оборонную и иные виды деятельности и активно взаимодействующее при этом с окружающей средой.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Предприятие при осуществлении основного вида деятельности, имеющее целью выпуск продукции, проведение работ (услуг), обязано обеспечить рациональное природопользование, охрану окружающей среды, а также собственную защищенность от негативного воздействия загрязненной окружающей среды. 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Масштаб и вид воздействия предприятия на окружающую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среду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и, напротив, его устойчивость по отношению к воздействию со стороны загрязненного природного объекта существенно зависят от основного вида деятельности предприятия, от степени опасности ее для окружающих и окружающей среды.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Именно поэтому в процессе экологического аудита необходимо засвидетельствование соответствия законодательству, инструкциям и правилам природоохранной деятельности предприятия с учетом специфики основного вида его деятельности. Собственно аудиторская деятельность, элементом которой является экологический аудит отдельно взятого предприятия, обсуждается как вид предпринимательской деятельности  и как отдельный вид деятельности в о</w:t>
      </w:r>
      <w:r>
        <w:rPr>
          <w:rFonts w:ascii="Times New Roman" w:hAnsi="Times New Roman" w:cs="Times New Roman"/>
          <w:sz w:val="28"/>
          <w:szCs w:val="28"/>
        </w:rPr>
        <w:t>бласти охраны окружающей среды</w:t>
      </w:r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С другой стороны, проведение экологического аудита предприятия как элемента экологического менеджмента способствует пониманию его роли как инструмента повышения инвестиционной привлекательности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lastRenderedPageBreak/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 и предопределяет заинтересованность собственника (руководства) предприятия в его проведении. В данном случае проведение экологического аудита направлено на повышение эффективности деятельности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 с позиций повышения эффективности природоохранной деятельности и экономической эффективности деятельности предприятия.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b/>
          <w:i/>
          <w:iCs/>
          <w:sz w:val="28"/>
          <w:szCs w:val="28"/>
        </w:rPr>
        <w:t>Экологический аудит предприятия</w:t>
      </w:r>
      <w:r w:rsidRPr="003645AD">
        <w:rPr>
          <w:rFonts w:ascii="Times New Roman" w:hAnsi="Times New Roman" w:cs="Times New Roman"/>
          <w:sz w:val="28"/>
          <w:szCs w:val="28"/>
        </w:rPr>
        <w:t xml:space="preserve"> – независимое исследование всех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аспектов хозяйственной деятельности промышленного предприятия любой формы собственности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для установления размера прямого или косвенного его воздействия на состояние окружающей среды. 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 рамках экологического аудита под </w:t>
      </w:r>
      <w:r w:rsidRPr="003645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экологической безопасностью предприятия</w:t>
      </w:r>
      <w:r w:rsidRPr="003645AD">
        <w:rPr>
          <w:rFonts w:ascii="Times New Roman" w:hAnsi="Times New Roman" w:cs="Times New Roman"/>
          <w:sz w:val="28"/>
          <w:szCs w:val="28"/>
        </w:rPr>
        <w:t xml:space="preserve"> понимается состояние защищенности его жизненно-важных интересов при осуществлении его производственной, оборонной и иных видов деятельности от угроз: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- со стороны природных объектов, естественные свойства которых изменены путем загрязнения, засорения в результате либо техногенной деятельности (при возникновении аварий катастроф, при осуществлении длительной хозяйственной, оборонной, военной и иных видов деятельности); либо преднамеренно (путем экологических диверсий, экологической агрессии); либо природных явлений и стихийных бедствий; 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- необеспеченностью природными ресурсами, обусловленной уничтожением, порчей, истощением природных объектов.</w:t>
      </w:r>
    </w:p>
    <w:p w:rsidR="003645AD" w:rsidRP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5AD">
        <w:rPr>
          <w:rFonts w:ascii="Times New Roman" w:hAnsi="Times New Roman" w:cs="Times New Roman"/>
          <w:sz w:val="28"/>
          <w:szCs w:val="28"/>
        </w:rPr>
        <w:t>Практика экологического аудита базируется на следующих принципах: поддержка экологического аудита и реагирование на его результаты со стороны руководства предприятия; независимость функций экологического аудита от проверяемой деятельности; обоснованный подбор аудиторов; определенность целей, сроков, ресурсов и периодичность экологического аудита; адекватность сбора, анализа, интерпретации и документирования результатов целям аудита; наличие процедур, обеспечивающих беспристрастное, четкое изложение результатов экологического аудита;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наличие процедур, гарантирующих качество экологического аудита и конфиденциальность информации; ответственность аудитора за достоверность аудита. </w:t>
      </w:r>
    </w:p>
    <w:p w:rsidR="003645AD" w:rsidRDefault="003645AD" w:rsidP="003645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Поскольку речь идет об исследовании всех аспектов хозяйственной деятельности предприятия, ЭА должен объединить и расширить программы и методики уже существующих видов аудита – производственного,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финансовой деятельности, аудита на соответствие.</w:t>
      </w:r>
    </w:p>
    <w:p w:rsidR="00C3344F" w:rsidRPr="00C3344F" w:rsidRDefault="00C3344F" w:rsidP="00C334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44F">
        <w:rPr>
          <w:rFonts w:ascii="Times New Roman" w:hAnsi="Times New Roman" w:cs="Times New Roman"/>
          <w:b/>
          <w:sz w:val="28"/>
          <w:szCs w:val="28"/>
        </w:rPr>
        <w:t>2 Этапы проведения ЭА.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Инициирование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осуществляется заказчиком (клиентом) на проведение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. При возникновении у клиента потребности в проведении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в той или иной области деятельности  промышленного объекта, связанной с воздействием на окружающую среду, охраной окружающей средой и природопользованием, им формулируются цели и задачи </w:t>
      </w:r>
      <w:proofErr w:type="spellStart"/>
      <w:proofErr w:type="gram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и избирается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экоаудиторская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фирма (или отдельные аудиторы-экологи). После этого клиент совместно с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экоаудиторской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фирмой </w:t>
      </w:r>
      <w:r w:rsidRPr="003645AD">
        <w:rPr>
          <w:rFonts w:ascii="Times New Roman" w:hAnsi="Times New Roman" w:cs="Times New Roman"/>
          <w:sz w:val="28"/>
          <w:szCs w:val="28"/>
        </w:rPr>
        <w:lastRenderedPageBreak/>
        <w:t>или самостоятельно (в случае привлечения отдельных аудиторов-экологов) назначает Ведущего аудитора-эколога.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Для проведения работ по экологическому аудиту в каждом конкретном случае клиентом совместно с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экоаудиторской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фирмой создается группа аудита. В каждую группу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дополнительно включаются аудиторы-экологи или технические специалисты, эксперты, обладающие знаниями в области деятельности, в которой проводится аудиторская проверка, если ни один из аудиторов-экологов не обладает достаточными знаниями в проверяемой области деятельности. Число и состав членов группы определяется исходя из определенного клиентом периода времени, в течение которого должен быть проведен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сложности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объекта и поставленных целей и задач перед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экоаудитом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Решение вопроса об использовании внешних или внутренних (являющихся сотрудниками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организации) членов группы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отдается на усмотрение клиента. Член группы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выбранный из персонала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организации, не должен быть подотчетен тем лицам, которые несут ответственность за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аудируемый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 рассмотрения.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На подготовительном этапе клиент и Ведущий аудитор проводят консультации с представителями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объекта, согласовывают цели и задачи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, критер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дита и область распространения (охвата)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. В зависимости от объекта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 сложности вопросов, возникающих при выполнении целей и задач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поставленных клиентом, может возникнуть необходимость разработки комплексной Программы или Плана экологического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для конкретного случая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. Программа может охватывать широкий круг вопросов: от разработки и выбора нормативных документов, необходимых для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до создания методик оценки экологического риска и прогноза развития экологической ситуации на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аудируемом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объекте. 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Разработка Программы для рассматриваемого объекта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экоаудирования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 конкретных целей и задач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может проводиться по отдельному договору между клиентом 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экоаудиторской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фирмой.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 случае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с относительно узким кругом и охватом рассматриваемых вопросов можно ограничиться составлением Плана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Отличие Плана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от Программы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заключается в том, что 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включает более узкий перечень вопросов, относящихся в основном к графику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в конкретных условиях проведения экологического аудита на данном объекте.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Ведущий аудитор проводит предварительный обзор соответствующих документов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объекта и оценивает достаточность и адекватность информации для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(программы, отчеты, руководства, требования, стандарты предприятия, рабочие журналы и т. д.). Если документация не удовлетворяет требованиям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клиент должен быть официально информирован об этом. Работа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Pr="003645AD">
        <w:rPr>
          <w:rFonts w:ascii="Times New Roman" w:hAnsi="Times New Roman" w:cs="Times New Roman"/>
          <w:sz w:val="28"/>
          <w:szCs w:val="28"/>
        </w:rPr>
        <w:lastRenderedPageBreak/>
        <w:t>продолжена только после получения соответствующего заключения от клиента.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На предварительном этапе определяются сроки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необходимые для этого материальные ресурсы, качественный и количественный состав группы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Результатом консультаций между участниками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(клиент -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экоаудиторская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фирма – Ведущий аудитор-эколог–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омышленный объект) является заключение договора на проведение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 договоре отражаются все вопросы методики и техники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C3344F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Если клиент имеет дело с отдельными аудиторами-экологами, то он заключает трудовое соглашение с выбранной им группой аудиторов-экологов, в котором оговариваются те же условия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, что и в договоре.</w:t>
      </w:r>
    </w:p>
    <w:p w:rsidR="00C3344F" w:rsidRPr="00C3344F" w:rsidRDefault="00C3344F" w:rsidP="00C334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44F">
        <w:rPr>
          <w:rFonts w:ascii="Times New Roman" w:hAnsi="Times New Roman" w:cs="Times New Roman"/>
          <w:b/>
          <w:sz w:val="28"/>
          <w:szCs w:val="28"/>
        </w:rPr>
        <w:t xml:space="preserve">3 Схема проведения </w:t>
      </w:r>
      <w:proofErr w:type="spellStart"/>
      <w:r w:rsidRPr="00C3344F">
        <w:rPr>
          <w:rFonts w:ascii="Times New Roman" w:hAnsi="Times New Roman" w:cs="Times New Roman"/>
          <w:b/>
          <w:sz w:val="28"/>
          <w:szCs w:val="28"/>
        </w:rPr>
        <w:t>экоаудита</w:t>
      </w:r>
      <w:proofErr w:type="spellEnd"/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После заключения договора на предварительном этапе составляется 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который должен быть достаточно гибким для внесения необходимых изменений на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получаемой в процессе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информации. Так как по своему содержанию План является сокращенным вариантом Программы экологического аудита, то при наличии последней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Ведущий аудитор совместно с клиентом решают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вопрос необходимости разработки Плана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или использования вместо него Программы экологического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 Плане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формируются этапы и виды конкретных работ с указанием для каждого этапа требований к содержанию, материалам, а также сроков и конкретных исполнителей. Кроме того, предусматриваются натурные обследования объекта.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готовит Ведущий аудитор-эколог совместно с членами группы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. Готовый план обсуждается с клиентом и представителями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предприятия. План включает три раздела. В первом разделе плана приводятся исходные данные для проведения </w:t>
      </w:r>
      <w:proofErr w:type="spellStart"/>
      <w:proofErr w:type="gram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и определяется персональный состав группы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с распределением функций между ее членами. Во втором разделе плана приводится график проведения аудита. В третьем - излагается план организационно-технических мероприятий по обеспечению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в общем случае может включать следующее: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Часть 1. Информационные материалы: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а) цели и задачи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б) критерии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в) информация о членах группы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, в том числе о распределении обязанностей между членами группы;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г) перечень используемых программ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 основных законодательных и нормативных документов для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) процедуры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(возможны ссылки на них);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lastRenderedPageBreak/>
        <w:t xml:space="preserve">е) оглавление отчета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, срок его представления и адресаты рассылки.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Часть 2. График проведения работ: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а) разработка Программы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(если это необходимо);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б) проведение вводного совещания;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в) ознакомление с управлением окружающей средой на предприятии (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экоменеджментом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);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г) посещение выбранных для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подразделений (функциональных единиц, территорий);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) ознакомление с результатами предыдущих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экоаудитов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(если таковые проводились), инспекционных проверок;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е) составление Протоколов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ж) составление Заключения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) проведение финальной встречи;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и) составление отчета по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экоаудиту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к) организационно-технические мероприятия, осуществление которых необходимо для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Рекомендуется следующая форма для второй части Плана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: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1) №№ </w:t>
      </w:r>
      <w:proofErr w:type="spellStart"/>
      <w:proofErr w:type="gramStart"/>
      <w:r w:rsidRPr="003645A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645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2) наименование действия;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3) начало;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4) окончание;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5) место проведения;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6) ответственный исполнитель;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7) участники;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8) чем заканчивается этап;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9) примечания.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Время начала и окончания каждого из этапов определяется Ведущим аудитором вместе с руководством предприятия и с учетом объема работ, которые должны быть выполнены, а также ожидаемых при этом трудозатрат.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Организационно-технические мероприятия, за выполнение которых отвечает администрация объектов (транспортное и жилищно-бытовое обеспечение работы аудиторов) и которые необходимы для успешного проведения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, вносятся в 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. Сюда же включаются мероприятия в части обеспечения потребности аудиторов в рабочих помещениях, услугах связи, копировальной техники, а также (при необходимости) в средствах техники безопасности.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должен быть разработан таким образом, чтобы обеспечить для клиента и аудиторов желаемый уровень доверия относительно надежности находок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экоаудиторских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заключений.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Подготовленный План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согласовывается с его заказчиком (клиентом), который может внести в него необходимые, на его взгляд, изменения. Утвержденный руководителем группы аудиторов план предоставляется заказчику аудита, промышленному объекту и каждому из </w:t>
      </w:r>
      <w:r w:rsidRPr="003645AD">
        <w:rPr>
          <w:rFonts w:ascii="Times New Roman" w:hAnsi="Times New Roman" w:cs="Times New Roman"/>
          <w:sz w:val="28"/>
          <w:szCs w:val="28"/>
        </w:rPr>
        <w:lastRenderedPageBreak/>
        <w:t>аудиторов. Указанный План является обязательным для всех, кого он касается.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может быть начат только после того, как заключен договор на проведение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и после консультаций с клиентом у Ведущего аудитора сложилось мнение, что: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- имеется достаточная информация об объекте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- имеются адекватные ресурсы для поддержания процесса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;</w:t>
      </w:r>
    </w:p>
    <w:p w:rsidR="003645AD" w:rsidRPr="003645AD" w:rsidRDefault="003645AD" w:rsidP="0036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- имеется адекватная кооперация с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аудируемым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объектом.</w:t>
      </w:r>
    </w:p>
    <w:p w:rsidR="00C3344F" w:rsidRPr="00C3344F" w:rsidRDefault="00C3344F" w:rsidP="00C334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44F">
        <w:rPr>
          <w:rFonts w:ascii="Times New Roman" w:hAnsi="Times New Roman" w:cs="Times New Roman"/>
          <w:b/>
          <w:sz w:val="28"/>
          <w:szCs w:val="28"/>
        </w:rPr>
        <w:t>4 Заключение ЭА.</w:t>
      </w:r>
    </w:p>
    <w:p w:rsidR="00C3344F" w:rsidRPr="003645AD" w:rsidRDefault="00C3344F" w:rsidP="00C334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Заключение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будет содержать следующую информацию: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выводы о соответствии природоохранной и производственной деятельности законодательству и нормативным актам;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>заключение о состоянии финансово-экономической отчетности, учета, своевременности и величине текущих экологических платежей, целенаправленности использования капитальных средств, выделенных на охрану окружающей среды;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оценку воздействия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 на состояние среды, здоровье производственного персонала, экологию в регионе, данные о наличии и величине выбросов (сбросов) загрязняющих веществ, производство которых ограничено или запрещено международными обязательствами государства;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анализа темпов роста производства продукции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и количества выбросов и сбросов загрязняющих веществ, потребления энергетических и материальных ресурсов;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результаты сравнительного анализа основных показателей природоохранной и производственной деятельности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 и подобных ему предприятий, функционирующих в различных странах и регионах;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оценку потенциальной опасности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предприятия при возникновении аварийной ситуации; эффективности разработанного плана работ по ликвидации очагов аварии; наличия необходимых материально-технических средств;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заключение о профессиональной компетентности работников природоохранных служб предприятия, их обеспеченности современными техническими средствами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соблюдением допустимых величин загрязнения;</w:t>
      </w:r>
    </w:p>
    <w:p w:rsidR="00C3344F" w:rsidRPr="003645AD" w:rsidRDefault="00C3344F" w:rsidP="00C3344F">
      <w:pPr>
        <w:widowControl w:val="0"/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информированность руководящего и производственного персонала о величине и характере загрязнения окружающей среды их предприятием, наличие материального и морального стимулирования за снижение уровня загрязнения и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>- и материалоемкости выпускаемой продукции.</w:t>
      </w:r>
    </w:p>
    <w:p w:rsidR="00C3344F" w:rsidRPr="003645AD" w:rsidRDefault="00C3344F" w:rsidP="00C334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5AD">
        <w:rPr>
          <w:rFonts w:ascii="Times New Roman" w:hAnsi="Times New Roman" w:cs="Times New Roman"/>
          <w:sz w:val="28"/>
          <w:szCs w:val="28"/>
        </w:rPr>
        <w:t xml:space="preserve">На основании заключения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экоаудитора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решить конкретную проблему (например, уменьшить количество или концентрацию определенного загрязняющего ингредиента) можно различными, часто альтернативными методами. В зависимости от радикальности принятого решения и остроты проблемы необходимые природоохранные мероприятия могут находиться в </w:t>
      </w:r>
      <w:r w:rsidRPr="003645AD">
        <w:rPr>
          <w:rFonts w:ascii="Times New Roman" w:hAnsi="Times New Roman" w:cs="Times New Roman"/>
          <w:sz w:val="28"/>
          <w:szCs w:val="28"/>
        </w:rPr>
        <w:lastRenderedPageBreak/>
        <w:t xml:space="preserve">диапазоне от организационных мер и повышения </w:t>
      </w:r>
      <w:proofErr w:type="gramStart"/>
      <w:r w:rsidRPr="003645A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645AD">
        <w:rPr>
          <w:rFonts w:ascii="Times New Roman" w:hAnsi="Times New Roman" w:cs="Times New Roman"/>
          <w:sz w:val="28"/>
          <w:szCs w:val="28"/>
        </w:rPr>
        <w:t xml:space="preserve"> ведением технологического процесса и работой </w:t>
      </w:r>
      <w:proofErr w:type="spellStart"/>
      <w:r w:rsidRPr="003645AD">
        <w:rPr>
          <w:rFonts w:ascii="Times New Roman" w:hAnsi="Times New Roman" w:cs="Times New Roman"/>
          <w:sz w:val="28"/>
          <w:szCs w:val="28"/>
        </w:rPr>
        <w:t>средозащитного</w:t>
      </w:r>
      <w:proofErr w:type="spellEnd"/>
      <w:r w:rsidRPr="003645AD">
        <w:rPr>
          <w:rFonts w:ascii="Times New Roman" w:hAnsi="Times New Roman" w:cs="Times New Roman"/>
          <w:sz w:val="28"/>
          <w:szCs w:val="28"/>
        </w:rPr>
        <w:t xml:space="preserve"> оборудования до закрытия предприятия с его последующим перепрофилированием.</w:t>
      </w:r>
    </w:p>
    <w:sectPr w:rsidR="00C3344F" w:rsidRPr="003645AD" w:rsidSect="000B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76CD9"/>
    <w:multiLevelType w:val="multilevel"/>
    <w:tmpl w:val="17E8A396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36DE19FA"/>
    <w:multiLevelType w:val="multilevel"/>
    <w:tmpl w:val="939E7F1C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46099"/>
    <w:rsid w:val="000B14FD"/>
    <w:rsid w:val="003645AD"/>
    <w:rsid w:val="00846099"/>
    <w:rsid w:val="00C3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645A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3645A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2013-09-29T17:32:00Z</dcterms:created>
  <dcterms:modified xsi:type="dcterms:W3CDTF">2013-09-29T18:26:00Z</dcterms:modified>
</cp:coreProperties>
</file>